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D89" w:rsidRDefault="00AD3AFE" w:rsidP="001D76C9">
      <w:pPr>
        <w:pStyle w:val="Kop1"/>
        <w:rPr>
          <w:lang w:val="nl-NL"/>
        </w:rPr>
      </w:pPr>
      <w:r>
        <w:rPr>
          <w:noProof/>
          <w:lang w:val="nl-NL" w:eastAsia="nl-NL" w:bidi="ar-SA"/>
        </w:rPr>
        <w:drawing>
          <wp:anchor distT="0" distB="0" distL="114300" distR="114300" simplePos="0" relativeHeight="251657728" behindDoc="0" locked="0" layoutInCell="1" allowOverlap="1">
            <wp:simplePos x="0" y="0"/>
            <wp:positionH relativeFrom="column">
              <wp:posOffset>3267075</wp:posOffset>
            </wp:positionH>
            <wp:positionV relativeFrom="paragraph">
              <wp:posOffset>-171450</wp:posOffset>
            </wp:positionV>
            <wp:extent cx="2600325" cy="2466975"/>
            <wp:effectExtent l="19050" t="0" r="9525" b="0"/>
            <wp:wrapSquare wrapText="bothSides"/>
            <wp:docPr id="1" name="Picture 0" descr="Ponto_teke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nto_tekening.jpg"/>
                    <pic:cNvPicPr/>
                  </pic:nvPicPr>
                  <pic:blipFill>
                    <a:blip r:embed="rId7"/>
                    <a:stretch>
                      <a:fillRect/>
                    </a:stretch>
                  </pic:blipFill>
                  <pic:spPr>
                    <a:xfrm>
                      <a:off x="0" y="0"/>
                      <a:ext cx="2600325" cy="2466975"/>
                    </a:xfrm>
                    <a:prstGeom prst="rect">
                      <a:avLst/>
                    </a:prstGeom>
                  </pic:spPr>
                </pic:pic>
              </a:graphicData>
            </a:graphic>
          </wp:anchor>
        </w:drawing>
      </w:r>
      <w:r w:rsidR="00BA0703" w:rsidRPr="00BA0703">
        <w:rPr>
          <w:lang w:val="nl-NL"/>
        </w:rPr>
        <w:t>Situatie: Een hoorapparaat voor Peter</w:t>
      </w:r>
      <w:r>
        <w:rPr>
          <w:lang w:val="nl-NL"/>
        </w:rPr>
        <w:t xml:space="preserve"> </w:t>
      </w:r>
    </w:p>
    <w:p w:rsidR="00BA0703" w:rsidRPr="001D76C9" w:rsidRDefault="00AD3AFE" w:rsidP="00BA0703">
      <w:pPr>
        <w:rPr>
          <w:sz w:val="24"/>
          <w:lang w:val="nl-NL"/>
        </w:rPr>
      </w:pPr>
      <w:r w:rsidRPr="001D76C9">
        <w:rPr>
          <w:noProof/>
          <w:sz w:val="24"/>
          <w:lang w:val="nl-NL" w:eastAsia="nl-NL" w:bidi="ar-SA"/>
        </w:rPr>
        <w:drawing>
          <wp:anchor distT="0" distB="0" distL="114300" distR="114300" simplePos="0" relativeHeight="251658752" behindDoc="0" locked="0" layoutInCell="1" allowOverlap="1" wp14:anchorId="1CFA3773" wp14:editId="462DFD6F">
            <wp:simplePos x="0" y="0"/>
            <wp:positionH relativeFrom="column">
              <wp:posOffset>4257675</wp:posOffset>
            </wp:positionH>
            <wp:positionV relativeFrom="paragraph">
              <wp:posOffset>1505585</wp:posOffset>
            </wp:positionV>
            <wp:extent cx="1485900" cy="1485900"/>
            <wp:effectExtent l="19050" t="0" r="0" b="0"/>
            <wp:wrapSquare wrapText="bothSides"/>
            <wp:docPr id="3" name="Picture 1" descr="k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d.jpg"/>
                    <pic:cNvPicPr/>
                  </pic:nvPicPr>
                  <pic:blipFill>
                    <a:blip r:embed="rId8"/>
                    <a:stretch>
                      <a:fillRect/>
                    </a:stretch>
                  </pic:blipFill>
                  <pic:spPr>
                    <a:xfrm>
                      <a:off x="0" y="0"/>
                      <a:ext cx="1485900" cy="1485900"/>
                    </a:xfrm>
                    <a:prstGeom prst="rect">
                      <a:avLst/>
                    </a:prstGeom>
                  </pic:spPr>
                </pic:pic>
              </a:graphicData>
            </a:graphic>
          </wp:anchor>
        </w:drawing>
      </w:r>
      <w:r w:rsidR="00BA0703" w:rsidRPr="001D76C9">
        <w:rPr>
          <w:sz w:val="24"/>
          <w:lang w:val="nl-NL"/>
        </w:rPr>
        <w:t xml:space="preserve">Peter, zes jaar oud, reageert op school niet altijd zoals de andere kinderen. Hij is altijd net wat langer stil en kijkt vaak op het blaadje van het jongetje dat naast hem zit. Ouders en school kunnen niet achterhalen wat er aan de hand is en uiteindelijk wordt Peter door de huisarts doorverwezen naar een KNO-arts. </w:t>
      </w:r>
      <w:r w:rsidR="003363C4" w:rsidRPr="001D76C9">
        <w:rPr>
          <w:sz w:val="24"/>
          <w:lang w:val="nl-NL"/>
        </w:rPr>
        <w:t>Deze roept de hulp in van een audiometrist om speciali</w:t>
      </w:r>
      <w:r w:rsidR="00BA0703" w:rsidRPr="001D76C9">
        <w:rPr>
          <w:sz w:val="24"/>
          <w:lang w:val="nl-NL"/>
        </w:rPr>
        <w:t xml:space="preserve">stische hoortesten af te nemen en te zorgen dat Peter een hoortoestel krijgt zodat hij weer gewoon mee kan doen. </w:t>
      </w:r>
    </w:p>
    <w:p w:rsidR="00776D89" w:rsidRPr="001D76C9" w:rsidRDefault="00776D89" w:rsidP="00776D89">
      <w:pPr>
        <w:pStyle w:val="Lijstalinea"/>
        <w:numPr>
          <w:ilvl w:val="0"/>
          <w:numId w:val="1"/>
        </w:numPr>
        <w:ind w:left="360"/>
        <w:rPr>
          <w:sz w:val="24"/>
          <w:lang w:val="nl-NL"/>
        </w:rPr>
      </w:pPr>
      <w:r w:rsidRPr="001D76C9">
        <w:rPr>
          <w:sz w:val="24"/>
          <w:lang w:val="nl-NL"/>
        </w:rPr>
        <w:t>KNO-arts (keel-, neus- en oorarts): In eerste instantie doet de arts onderzoek naar de reden van het hoorprobleem van Peter. Hij kijkt in de oren en onderzoekt dan o.a. de gehoorgang en het trommelvlies en komt tot de conclusie dat hij het probleem van Peter niet kan oplossen d.m.v. medische behandeling. Hij verwijst Peter door naar de audiometrist.</w:t>
      </w:r>
    </w:p>
    <w:p w:rsidR="001F6D28" w:rsidRPr="001D76C9" w:rsidRDefault="001F6D28" w:rsidP="00776D89">
      <w:pPr>
        <w:pStyle w:val="Lijstalinea"/>
        <w:numPr>
          <w:ilvl w:val="0"/>
          <w:numId w:val="1"/>
        </w:numPr>
        <w:ind w:left="360"/>
        <w:rPr>
          <w:sz w:val="24"/>
          <w:lang w:val="nl-NL"/>
        </w:rPr>
      </w:pPr>
      <w:r w:rsidRPr="001D76C9">
        <w:rPr>
          <w:sz w:val="24"/>
          <w:lang w:val="nl-NL"/>
        </w:rPr>
        <w:t>Audiometrist: De audiometrist voert specialistische gehoormetingen uit</w:t>
      </w:r>
      <w:r w:rsidR="00DF2E1F" w:rsidRPr="001D76C9">
        <w:rPr>
          <w:sz w:val="24"/>
          <w:lang w:val="nl-NL"/>
        </w:rPr>
        <w:t xml:space="preserve"> om vast te stellen welk probleem precies verholpen moet worden</w:t>
      </w:r>
      <w:r w:rsidRPr="001D76C9">
        <w:rPr>
          <w:sz w:val="24"/>
          <w:lang w:val="nl-NL"/>
        </w:rPr>
        <w:t xml:space="preserve">. Zij is goed op de hoogte van de verschillende hoortoestellen die er bestaan en kan beoordelen wat het beste aansluit bij het probleem van Peter. Ze moet een mal maken om te zorgen dat het toestel straks goed zal passen. Ze zal het toestel aanbrengen en afstellen en </w:t>
      </w:r>
      <w:r w:rsidR="00DF2E1F" w:rsidRPr="001D76C9">
        <w:rPr>
          <w:sz w:val="24"/>
          <w:lang w:val="nl-NL"/>
        </w:rPr>
        <w:t xml:space="preserve">duidelijk </w:t>
      </w:r>
      <w:r w:rsidRPr="001D76C9">
        <w:rPr>
          <w:sz w:val="24"/>
          <w:lang w:val="nl-NL"/>
        </w:rPr>
        <w:t xml:space="preserve">uitleggen aan Peter en zijn ouders hoe het apparaat werkt en hoe het onderhouden moet worden. </w:t>
      </w:r>
    </w:p>
    <w:p w:rsidR="00371DA1" w:rsidRPr="001D76C9" w:rsidRDefault="001F6D28" w:rsidP="00776D89">
      <w:pPr>
        <w:pStyle w:val="Lijstalinea"/>
        <w:numPr>
          <w:ilvl w:val="0"/>
          <w:numId w:val="2"/>
        </w:numPr>
        <w:ind w:left="360"/>
        <w:rPr>
          <w:sz w:val="24"/>
          <w:lang w:val="nl-NL"/>
        </w:rPr>
      </w:pPr>
      <w:r w:rsidRPr="001D76C9">
        <w:rPr>
          <w:sz w:val="24"/>
          <w:lang w:val="nl-NL"/>
        </w:rPr>
        <w:t xml:space="preserve">Klinisch fysisch medewerker: </w:t>
      </w:r>
      <w:r w:rsidR="00776D89" w:rsidRPr="001D76C9">
        <w:rPr>
          <w:sz w:val="24"/>
          <w:lang w:val="nl-NL"/>
        </w:rPr>
        <w:t xml:space="preserve">De specialist op het gebied van meetapparatuur in het ziekenhuis is de klinisch fysisch medewerker. Als er nieuwe apparatuur nodig is, kijken de klinisch fysisch medewerker en de audiometrist samen wat het beste aansluit bij de werkzaamheden die ze uitvoeren. Als een nieuw toestel binnenkomt, moet dit door de klinisch fysisch medewerker uitgebreid worden ingeregeld voordat het kan worden gebruikt. Vervolgens moet de apparatuur regelmatig worden geijkt, onderhouden en indien nodig gerepareerd. Een klinisch </w:t>
      </w:r>
      <w:r w:rsidR="0064116C" w:rsidRPr="001D76C9">
        <w:rPr>
          <w:sz w:val="24"/>
          <w:lang w:val="nl-NL"/>
        </w:rPr>
        <w:t xml:space="preserve">fysisch </w:t>
      </w:r>
      <w:r w:rsidR="00776D89" w:rsidRPr="001D76C9">
        <w:rPr>
          <w:sz w:val="24"/>
          <w:lang w:val="nl-NL"/>
        </w:rPr>
        <w:t>medewerker kan</w:t>
      </w:r>
      <w:r w:rsidR="001D76C9" w:rsidRPr="001D76C9">
        <w:rPr>
          <w:sz w:val="24"/>
          <w:lang w:val="nl-NL"/>
        </w:rPr>
        <w:t xml:space="preserve"> ook worden betrokken bij de invoering</w:t>
      </w:r>
      <w:r w:rsidR="00776D89" w:rsidRPr="001D76C9">
        <w:rPr>
          <w:sz w:val="24"/>
          <w:lang w:val="nl-NL"/>
        </w:rPr>
        <w:t xml:space="preserve"> van nieuwe behandelmethoden. In dat geval kan hij in voorkomende gevallen artsen assisteren bij het uitvoeren van operaties of andere behandelingen.</w:t>
      </w:r>
    </w:p>
    <w:p w:rsidR="00371DA1" w:rsidRPr="00AD3AFE" w:rsidRDefault="00371DA1" w:rsidP="00AD3AFE">
      <w:pPr>
        <w:pStyle w:val="Lijstalinea"/>
        <w:ind w:left="1170"/>
        <w:rPr>
          <w:lang w:val="nl-NL"/>
        </w:rPr>
      </w:pPr>
    </w:p>
    <w:p w:rsidR="001D76C9" w:rsidRDefault="003363C4" w:rsidP="00776D89">
      <w:pPr>
        <w:rPr>
          <w:lang w:val="nl-NL"/>
        </w:rPr>
      </w:pPr>
      <w:r w:rsidRPr="00464672">
        <w:rPr>
          <w:lang w:val="nl-NL"/>
        </w:rPr>
        <w:t xml:space="preserve"> </w:t>
      </w:r>
    </w:p>
    <w:p w:rsidR="003363C4" w:rsidRDefault="001D76C9" w:rsidP="001D76C9">
      <w:pPr>
        <w:pStyle w:val="Kop1"/>
        <w:rPr>
          <w:lang w:val="nl-NL"/>
        </w:rPr>
      </w:pPr>
      <w:r>
        <w:rPr>
          <w:lang w:val="nl-NL"/>
        </w:rPr>
        <w:lastRenderedPageBreak/>
        <w:t>Eigenschappen</w:t>
      </w:r>
    </w:p>
    <w:tbl>
      <w:tblPr>
        <w:tblStyle w:val="Tabelraster"/>
        <w:tblpPr w:leftFromText="141" w:rightFromText="141" w:vertAnchor="text" w:tblpY="1"/>
        <w:tblOverlap w:val="never"/>
        <w:tblW w:w="0" w:type="auto"/>
        <w:tblLayout w:type="fixed"/>
        <w:tblLook w:val="04A0" w:firstRow="1" w:lastRow="0" w:firstColumn="1" w:lastColumn="0" w:noHBand="0" w:noVBand="1"/>
      </w:tblPr>
      <w:tblGrid>
        <w:gridCol w:w="4390"/>
        <w:gridCol w:w="4672"/>
      </w:tblGrid>
      <w:tr w:rsidR="001D76C9" w:rsidRPr="001D76C9" w:rsidTr="001D76C9">
        <w:trPr>
          <w:trHeight w:val="1361"/>
        </w:trPr>
        <w:tc>
          <w:tcPr>
            <w:tcW w:w="4390" w:type="dxa"/>
            <w:vAlign w:val="center"/>
          </w:tcPr>
          <w:p w:rsidR="001D76C9" w:rsidRPr="001D76C9" w:rsidRDefault="001D76C9" w:rsidP="001D76C9">
            <w:pPr>
              <w:jc w:val="center"/>
              <w:rPr>
                <w:sz w:val="32"/>
                <w:szCs w:val="32"/>
              </w:rPr>
            </w:pPr>
            <w:r w:rsidRPr="001D76C9">
              <w:rPr>
                <w:sz w:val="32"/>
                <w:szCs w:val="32"/>
              </w:rPr>
              <w:t>doorzettingsvermogen (lang studeren)</w:t>
            </w:r>
          </w:p>
        </w:tc>
        <w:tc>
          <w:tcPr>
            <w:tcW w:w="4672" w:type="dxa"/>
            <w:vAlign w:val="center"/>
          </w:tcPr>
          <w:p w:rsidR="001D76C9" w:rsidRPr="001D76C9" w:rsidRDefault="001D76C9" w:rsidP="001D76C9">
            <w:pPr>
              <w:jc w:val="center"/>
              <w:rPr>
                <w:sz w:val="32"/>
                <w:szCs w:val="32"/>
              </w:rPr>
            </w:pPr>
            <w:r w:rsidRPr="001D76C9">
              <w:rPr>
                <w:sz w:val="32"/>
                <w:szCs w:val="32"/>
              </w:rPr>
              <w:t>klantgericht</w:t>
            </w:r>
          </w:p>
        </w:tc>
      </w:tr>
      <w:tr w:rsidR="001D76C9" w:rsidRPr="001D76C9" w:rsidTr="001D76C9">
        <w:trPr>
          <w:trHeight w:val="1361"/>
        </w:trPr>
        <w:tc>
          <w:tcPr>
            <w:tcW w:w="4390" w:type="dxa"/>
            <w:vAlign w:val="center"/>
          </w:tcPr>
          <w:p w:rsidR="001D76C9" w:rsidRPr="001D76C9" w:rsidRDefault="001D76C9" w:rsidP="001D76C9">
            <w:pPr>
              <w:jc w:val="center"/>
              <w:rPr>
                <w:sz w:val="32"/>
                <w:szCs w:val="32"/>
              </w:rPr>
            </w:pPr>
            <w:r w:rsidRPr="001D76C9">
              <w:rPr>
                <w:sz w:val="32"/>
                <w:szCs w:val="32"/>
              </w:rPr>
              <w:t>nauwkeurig</w:t>
            </w:r>
          </w:p>
        </w:tc>
        <w:tc>
          <w:tcPr>
            <w:tcW w:w="4672" w:type="dxa"/>
            <w:vAlign w:val="center"/>
          </w:tcPr>
          <w:p w:rsidR="001D76C9" w:rsidRPr="001D76C9" w:rsidRDefault="001D76C9" w:rsidP="001D76C9">
            <w:pPr>
              <w:jc w:val="center"/>
              <w:rPr>
                <w:sz w:val="32"/>
                <w:szCs w:val="32"/>
              </w:rPr>
            </w:pPr>
            <w:r w:rsidRPr="001D76C9">
              <w:rPr>
                <w:sz w:val="32"/>
                <w:szCs w:val="32"/>
              </w:rPr>
              <w:t>kennis van natuurkunde en anatomie</w:t>
            </w:r>
          </w:p>
        </w:tc>
      </w:tr>
      <w:tr w:rsidR="001D76C9" w:rsidRPr="001D76C9" w:rsidTr="001D76C9">
        <w:trPr>
          <w:trHeight w:val="1361"/>
        </w:trPr>
        <w:tc>
          <w:tcPr>
            <w:tcW w:w="4390" w:type="dxa"/>
            <w:vAlign w:val="center"/>
          </w:tcPr>
          <w:p w:rsidR="001D76C9" w:rsidRPr="001D76C9" w:rsidRDefault="001D76C9" w:rsidP="001D76C9">
            <w:pPr>
              <w:jc w:val="center"/>
              <w:rPr>
                <w:sz w:val="32"/>
                <w:szCs w:val="32"/>
              </w:rPr>
            </w:pPr>
            <w:r w:rsidRPr="001D76C9">
              <w:rPr>
                <w:sz w:val="32"/>
                <w:szCs w:val="32"/>
              </w:rPr>
              <w:t>analytisch</w:t>
            </w:r>
          </w:p>
        </w:tc>
        <w:tc>
          <w:tcPr>
            <w:tcW w:w="4672" w:type="dxa"/>
            <w:vAlign w:val="center"/>
          </w:tcPr>
          <w:p w:rsidR="001D76C9" w:rsidRPr="001D76C9" w:rsidRDefault="001D76C9" w:rsidP="001D76C9">
            <w:pPr>
              <w:jc w:val="center"/>
              <w:rPr>
                <w:sz w:val="32"/>
                <w:szCs w:val="32"/>
              </w:rPr>
            </w:pPr>
            <w:r w:rsidRPr="001D76C9">
              <w:rPr>
                <w:sz w:val="32"/>
                <w:szCs w:val="32"/>
              </w:rPr>
              <w:t>onderzoekend</w:t>
            </w:r>
          </w:p>
        </w:tc>
      </w:tr>
      <w:tr w:rsidR="001D76C9" w:rsidRPr="001D76C9" w:rsidTr="001D76C9">
        <w:trPr>
          <w:trHeight w:val="1361"/>
        </w:trPr>
        <w:tc>
          <w:tcPr>
            <w:tcW w:w="4390" w:type="dxa"/>
            <w:vAlign w:val="center"/>
          </w:tcPr>
          <w:p w:rsidR="001D76C9" w:rsidRPr="001D76C9" w:rsidRDefault="001D76C9" w:rsidP="001D76C9">
            <w:pPr>
              <w:jc w:val="center"/>
              <w:rPr>
                <w:sz w:val="32"/>
                <w:szCs w:val="32"/>
              </w:rPr>
            </w:pPr>
            <w:r w:rsidRPr="001D76C9">
              <w:rPr>
                <w:sz w:val="32"/>
                <w:szCs w:val="32"/>
              </w:rPr>
              <w:t>begrip van behandelmethoden</w:t>
            </w:r>
          </w:p>
        </w:tc>
        <w:tc>
          <w:tcPr>
            <w:tcW w:w="4672" w:type="dxa"/>
            <w:vAlign w:val="center"/>
          </w:tcPr>
          <w:p w:rsidR="001D76C9" w:rsidRPr="001D76C9" w:rsidRDefault="001D76C9" w:rsidP="001D76C9">
            <w:pPr>
              <w:jc w:val="center"/>
              <w:rPr>
                <w:sz w:val="32"/>
                <w:szCs w:val="32"/>
              </w:rPr>
            </w:pPr>
            <w:r w:rsidRPr="001D76C9">
              <w:rPr>
                <w:sz w:val="32"/>
                <w:szCs w:val="32"/>
              </w:rPr>
              <w:t>luisteren</w:t>
            </w:r>
          </w:p>
        </w:tc>
      </w:tr>
      <w:tr w:rsidR="001D76C9" w:rsidRPr="001D76C9" w:rsidTr="001D76C9">
        <w:trPr>
          <w:trHeight w:val="1361"/>
        </w:trPr>
        <w:tc>
          <w:tcPr>
            <w:tcW w:w="4390" w:type="dxa"/>
            <w:vAlign w:val="center"/>
          </w:tcPr>
          <w:p w:rsidR="001D76C9" w:rsidRPr="001D76C9" w:rsidRDefault="001D76C9" w:rsidP="001D76C9">
            <w:pPr>
              <w:jc w:val="center"/>
              <w:rPr>
                <w:sz w:val="32"/>
                <w:szCs w:val="32"/>
              </w:rPr>
            </w:pPr>
            <w:r w:rsidRPr="001D76C9">
              <w:rPr>
                <w:sz w:val="32"/>
                <w:szCs w:val="32"/>
              </w:rPr>
              <w:t>goede motoriek</w:t>
            </w:r>
          </w:p>
        </w:tc>
        <w:tc>
          <w:tcPr>
            <w:tcW w:w="4672" w:type="dxa"/>
            <w:vAlign w:val="center"/>
          </w:tcPr>
          <w:p w:rsidR="001D76C9" w:rsidRPr="001D76C9" w:rsidRDefault="001D76C9" w:rsidP="001D76C9">
            <w:pPr>
              <w:jc w:val="center"/>
              <w:rPr>
                <w:sz w:val="32"/>
                <w:szCs w:val="32"/>
              </w:rPr>
            </w:pPr>
            <w:r w:rsidRPr="001D76C9">
              <w:rPr>
                <w:sz w:val="32"/>
                <w:szCs w:val="32"/>
              </w:rPr>
              <w:t>betrokken</w:t>
            </w:r>
          </w:p>
        </w:tc>
      </w:tr>
      <w:tr w:rsidR="001D76C9" w:rsidRPr="001D76C9" w:rsidTr="001D76C9">
        <w:trPr>
          <w:trHeight w:val="1361"/>
        </w:trPr>
        <w:tc>
          <w:tcPr>
            <w:tcW w:w="4390" w:type="dxa"/>
            <w:vAlign w:val="center"/>
          </w:tcPr>
          <w:p w:rsidR="001D76C9" w:rsidRPr="001D76C9" w:rsidRDefault="001D76C9" w:rsidP="001D76C9">
            <w:pPr>
              <w:jc w:val="center"/>
              <w:rPr>
                <w:sz w:val="32"/>
                <w:szCs w:val="32"/>
              </w:rPr>
            </w:pPr>
            <w:r w:rsidRPr="001D76C9">
              <w:rPr>
                <w:sz w:val="32"/>
                <w:szCs w:val="32"/>
              </w:rPr>
              <w:t>analytisch</w:t>
            </w:r>
          </w:p>
        </w:tc>
        <w:tc>
          <w:tcPr>
            <w:tcW w:w="4672" w:type="dxa"/>
            <w:vAlign w:val="center"/>
          </w:tcPr>
          <w:p w:rsidR="001D76C9" w:rsidRPr="001D76C9" w:rsidRDefault="001D76C9" w:rsidP="001D76C9">
            <w:pPr>
              <w:jc w:val="center"/>
              <w:rPr>
                <w:sz w:val="32"/>
                <w:szCs w:val="32"/>
              </w:rPr>
            </w:pPr>
            <w:r w:rsidRPr="001D76C9">
              <w:rPr>
                <w:sz w:val="32"/>
                <w:szCs w:val="32"/>
              </w:rPr>
              <w:t>omgaan met details</w:t>
            </w:r>
          </w:p>
        </w:tc>
      </w:tr>
      <w:tr w:rsidR="001D76C9" w:rsidRPr="001D76C9" w:rsidTr="001D76C9">
        <w:trPr>
          <w:trHeight w:val="1361"/>
        </w:trPr>
        <w:tc>
          <w:tcPr>
            <w:tcW w:w="4390" w:type="dxa"/>
            <w:vAlign w:val="center"/>
          </w:tcPr>
          <w:p w:rsidR="001D76C9" w:rsidRPr="001D76C9" w:rsidRDefault="001D76C9" w:rsidP="001D76C9">
            <w:pPr>
              <w:jc w:val="center"/>
              <w:rPr>
                <w:sz w:val="32"/>
                <w:szCs w:val="32"/>
              </w:rPr>
            </w:pPr>
            <w:r w:rsidRPr="001D76C9">
              <w:rPr>
                <w:sz w:val="32"/>
                <w:szCs w:val="32"/>
              </w:rPr>
              <w:t>klantgericht</w:t>
            </w:r>
          </w:p>
        </w:tc>
        <w:tc>
          <w:tcPr>
            <w:tcW w:w="4672" w:type="dxa"/>
            <w:vAlign w:val="center"/>
          </w:tcPr>
          <w:p w:rsidR="001D76C9" w:rsidRPr="001D76C9" w:rsidRDefault="001D76C9" w:rsidP="001D76C9">
            <w:pPr>
              <w:jc w:val="center"/>
              <w:rPr>
                <w:sz w:val="32"/>
                <w:szCs w:val="32"/>
              </w:rPr>
            </w:pPr>
            <w:r w:rsidRPr="001D76C9">
              <w:rPr>
                <w:sz w:val="32"/>
                <w:szCs w:val="32"/>
              </w:rPr>
              <w:t>nauwkeurig</w:t>
            </w:r>
          </w:p>
        </w:tc>
      </w:tr>
      <w:tr w:rsidR="001D76C9" w:rsidRPr="001D76C9" w:rsidTr="001D76C9">
        <w:trPr>
          <w:trHeight w:val="1361"/>
        </w:trPr>
        <w:tc>
          <w:tcPr>
            <w:tcW w:w="4390" w:type="dxa"/>
            <w:vAlign w:val="center"/>
          </w:tcPr>
          <w:p w:rsidR="001D76C9" w:rsidRPr="001D76C9" w:rsidRDefault="001D76C9" w:rsidP="001D76C9">
            <w:pPr>
              <w:jc w:val="center"/>
              <w:rPr>
                <w:sz w:val="32"/>
                <w:szCs w:val="32"/>
              </w:rPr>
            </w:pPr>
            <w:r w:rsidRPr="001D76C9">
              <w:rPr>
                <w:sz w:val="32"/>
                <w:szCs w:val="32"/>
              </w:rPr>
              <w:t>flexibel</w:t>
            </w:r>
          </w:p>
        </w:tc>
        <w:tc>
          <w:tcPr>
            <w:tcW w:w="4672" w:type="dxa"/>
            <w:vAlign w:val="center"/>
          </w:tcPr>
          <w:p w:rsidR="001D76C9" w:rsidRPr="001D76C9" w:rsidRDefault="001D76C9" w:rsidP="001D76C9">
            <w:pPr>
              <w:jc w:val="center"/>
              <w:rPr>
                <w:sz w:val="32"/>
                <w:szCs w:val="32"/>
              </w:rPr>
            </w:pPr>
            <w:r w:rsidRPr="001D76C9">
              <w:rPr>
                <w:sz w:val="32"/>
                <w:szCs w:val="32"/>
              </w:rPr>
              <w:t>communicatief vaardig</w:t>
            </w:r>
          </w:p>
        </w:tc>
      </w:tr>
      <w:tr w:rsidR="001D76C9" w:rsidRPr="001D76C9" w:rsidTr="001D76C9">
        <w:trPr>
          <w:trHeight w:val="1361"/>
        </w:trPr>
        <w:tc>
          <w:tcPr>
            <w:tcW w:w="4390" w:type="dxa"/>
            <w:vAlign w:val="center"/>
          </w:tcPr>
          <w:p w:rsidR="001D76C9" w:rsidRPr="001D76C9" w:rsidRDefault="001D76C9" w:rsidP="001D76C9">
            <w:pPr>
              <w:jc w:val="center"/>
              <w:rPr>
                <w:sz w:val="32"/>
                <w:szCs w:val="32"/>
              </w:rPr>
            </w:pPr>
            <w:r w:rsidRPr="001D76C9">
              <w:rPr>
                <w:sz w:val="32"/>
                <w:szCs w:val="32"/>
              </w:rPr>
              <w:t>technische kennis</w:t>
            </w:r>
          </w:p>
        </w:tc>
        <w:tc>
          <w:tcPr>
            <w:tcW w:w="4672" w:type="dxa"/>
            <w:vAlign w:val="center"/>
          </w:tcPr>
          <w:p w:rsidR="001D76C9" w:rsidRPr="001D76C9" w:rsidRDefault="001D76C9" w:rsidP="001D76C9">
            <w:pPr>
              <w:jc w:val="center"/>
              <w:rPr>
                <w:sz w:val="32"/>
                <w:szCs w:val="32"/>
              </w:rPr>
            </w:pPr>
            <w:r w:rsidRPr="001D76C9">
              <w:rPr>
                <w:sz w:val="32"/>
                <w:szCs w:val="32"/>
              </w:rPr>
              <w:t>analytisch</w:t>
            </w:r>
          </w:p>
        </w:tc>
      </w:tr>
    </w:tbl>
    <w:p w:rsidR="001D76C9" w:rsidRPr="00464672" w:rsidRDefault="001D76C9" w:rsidP="001D76C9">
      <w:pPr>
        <w:rPr>
          <w:lang w:val="nl-NL"/>
        </w:rPr>
      </w:pPr>
      <w:bookmarkStart w:id="0" w:name="_GoBack"/>
      <w:bookmarkEnd w:id="0"/>
    </w:p>
    <w:sectPr w:rsidR="001D76C9" w:rsidRPr="00464672" w:rsidSect="00393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2F8" w:rsidRDefault="007162F8" w:rsidP="00EC5D56">
      <w:pPr>
        <w:spacing w:after="0" w:line="240" w:lineRule="auto"/>
      </w:pPr>
      <w:r>
        <w:separator/>
      </w:r>
    </w:p>
  </w:endnote>
  <w:endnote w:type="continuationSeparator" w:id="0">
    <w:p w:rsidR="007162F8" w:rsidRDefault="007162F8" w:rsidP="00EC5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2F8" w:rsidRDefault="007162F8" w:rsidP="00EC5D56">
      <w:pPr>
        <w:spacing w:after="0" w:line="240" w:lineRule="auto"/>
      </w:pPr>
      <w:r>
        <w:separator/>
      </w:r>
    </w:p>
  </w:footnote>
  <w:footnote w:type="continuationSeparator" w:id="0">
    <w:p w:rsidR="007162F8" w:rsidRDefault="007162F8" w:rsidP="00EC5D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7D72"/>
    <w:multiLevelType w:val="hybridMultilevel"/>
    <w:tmpl w:val="3B42D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455C73"/>
    <w:multiLevelType w:val="hybridMultilevel"/>
    <w:tmpl w:val="F7EA7B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6F1666"/>
    <w:multiLevelType w:val="hybridMultilevel"/>
    <w:tmpl w:val="12D0FA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F6337"/>
    <w:multiLevelType w:val="hybridMultilevel"/>
    <w:tmpl w:val="635C4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
  <w:rsids>
    <w:rsidRoot w:val="003363C4"/>
    <w:rsid w:val="00163F02"/>
    <w:rsid w:val="001D76C9"/>
    <w:rsid w:val="001F6C22"/>
    <w:rsid w:val="001F6D28"/>
    <w:rsid w:val="00276B92"/>
    <w:rsid w:val="003363C4"/>
    <w:rsid w:val="00371DA1"/>
    <w:rsid w:val="00393D27"/>
    <w:rsid w:val="00440EAE"/>
    <w:rsid w:val="00464672"/>
    <w:rsid w:val="005026CA"/>
    <w:rsid w:val="0056036F"/>
    <w:rsid w:val="005E466B"/>
    <w:rsid w:val="0064116C"/>
    <w:rsid w:val="00656E7C"/>
    <w:rsid w:val="007162F8"/>
    <w:rsid w:val="00776D89"/>
    <w:rsid w:val="00780A27"/>
    <w:rsid w:val="00786934"/>
    <w:rsid w:val="00A962BD"/>
    <w:rsid w:val="00AD3AFE"/>
    <w:rsid w:val="00BA0703"/>
    <w:rsid w:val="00C04FFC"/>
    <w:rsid w:val="00DB3B77"/>
    <w:rsid w:val="00DF2E1F"/>
    <w:rsid w:val="00E212E8"/>
    <w:rsid w:val="00EC5D56"/>
    <w:rsid w:val="00EF76CB"/>
    <w:rsid w:val="00FF6ABD"/>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842AE1C-3960-4757-8DF8-240DD9BE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93D27"/>
  </w:style>
  <w:style w:type="paragraph" w:styleId="Kop1">
    <w:name w:val="heading 1"/>
    <w:basedOn w:val="Standaard"/>
    <w:next w:val="Standaard"/>
    <w:link w:val="Kop1Char"/>
    <w:uiPriority w:val="9"/>
    <w:qFormat/>
    <w:rsid w:val="001D76C9"/>
    <w:pPr>
      <w:keepNext/>
      <w:keepLines/>
      <w:spacing w:before="240" w:after="0"/>
      <w:outlineLvl w:val="0"/>
    </w:pPr>
    <w:rPr>
      <w:rFonts w:asciiTheme="majorHAnsi" w:eastAsiaTheme="majorEastAsia" w:hAnsiTheme="majorHAnsi" w:cstheme="majorBidi"/>
      <w:color w:val="365F91" w:themeColor="accent1" w:themeShade="BF"/>
      <w:sz w:val="32"/>
      <w:szCs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036F"/>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56036F"/>
    <w:rPr>
      <w:rFonts w:ascii="Lucida Grande" w:hAnsi="Lucida Grande" w:cs="Lucida Grande"/>
      <w:sz w:val="18"/>
      <w:szCs w:val="18"/>
    </w:rPr>
  </w:style>
  <w:style w:type="paragraph" w:styleId="Koptekst">
    <w:name w:val="header"/>
    <w:basedOn w:val="Standaard"/>
    <w:link w:val="KoptekstChar"/>
    <w:uiPriority w:val="99"/>
    <w:semiHidden/>
    <w:unhideWhenUsed/>
    <w:rsid w:val="00EC5D56"/>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EC5D56"/>
  </w:style>
  <w:style w:type="paragraph" w:styleId="Voettekst">
    <w:name w:val="footer"/>
    <w:basedOn w:val="Standaard"/>
    <w:link w:val="VoettekstChar"/>
    <w:uiPriority w:val="99"/>
    <w:semiHidden/>
    <w:unhideWhenUsed/>
    <w:rsid w:val="00EC5D5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emiHidden/>
    <w:rsid w:val="00EC5D56"/>
  </w:style>
  <w:style w:type="paragraph" w:styleId="Revisie">
    <w:name w:val="Revision"/>
    <w:hidden/>
    <w:uiPriority w:val="99"/>
    <w:semiHidden/>
    <w:rsid w:val="00EC5D56"/>
    <w:pPr>
      <w:spacing w:after="0" w:line="240" w:lineRule="auto"/>
    </w:pPr>
  </w:style>
  <w:style w:type="paragraph" w:styleId="Lijstalinea">
    <w:name w:val="List Paragraph"/>
    <w:basedOn w:val="Standaard"/>
    <w:uiPriority w:val="34"/>
    <w:qFormat/>
    <w:rsid w:val="00776D89"/>
    <w:pPr>
      <w:ind w:left="720"/>
      <w:contextualSpacing/>
    </w:pPr>
  </w:style>
  <w:style w:type="character" w:customStyle="1" w:styleId="Kop1Char">
    <w:name w:val="Kop 1 Char"/>
    <w:basedOn w:val="Standaardalinea-lettertype"/>
    <w:link w:val="Kop1"/>
    <w:uiPriority w:val="9"/>
    <w:rsid w:val="001D76C9"/>
    <w:rPr>
      <w:rFonts w:asciiTheme="majorHAnsi" w:eastAsiaTheme="majorEastAsia" w:hAnsiTheme="majorHAnsi" w:cstheme="majorBidi"/>
      <w:color w:val="365F91" w:themeColor="accent1" w:themeShade="BF"/>
      <w:sz w:val="32"/>
      <w:szCs w:val="40"/>
    </w:rPr>
  </w:style>
  <w:style w:type="table" w:styleId="Tabelraster">
    <w:name w:val="Table Grid"/>
    <w:basedOn w:val="Standaardtabel"/>
    <w:uiPriority w:val="39"/>
    <w:rsid w:val="001D76C9"/>
    <w:pPr>
      <w:spacing w:after="0" w:line="240" w:lineRule="auto"/>
    </w:pPr>
    <w:rPr>
      <w:rFonts w:eastAsiaTheme="minorHAnsi"/>
      <w:szCs w:val="22"/>
      <w:lang w:val="nl-NL"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378</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NXP</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nlv00471</dc:creator>
  <cp:lastModifiedBy>ruud woltman</cp:lastModifiedBy>
  <cp:revision>5</cp:revision>
  <dcterms:created xsi:type="dcterms:W3CDTF">2016-03-14T19:09:00Z</dcterms:created>
  <dcterms:modified xsi:type="dcterms:W3CDTF">2016-04-15T19:45:00Z</dcterms:modified>
</cp:coreProperties>
</file>